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2172410" w14:textId="3381DF8C" w:rsidR="009C1231" w:rsidRPr="009C1231" w:rsidRDefault="009C1231" w:rsidP="009C1231">
      <w:pPr>
        <w:spacing w:after="0" w:line="240" w:lineRule="auto"/>
        <w:jc w:val="both"/>
        <w:rPr>
          <w:rFonts w:ascii="Calibri" w:eastAsia="Times New Roman" w:hAnsi="Calibri" w:cs="Calibri"/>
          <w:kern w:val="0"/>
          <w:lang w:val="en-IN" w:eastAsia="en-IN" w:bidi="hi-IN"/>
          <w14:ligatures w14:val="none"/>
        </w:rPr>
      </w:pPr>
      <w:r w:rsidRPr="009C1231">
        <w:rPr>
          <w:rFonts w:ascii="Calibri" w:eastAsia="Times New Roman" w:hAnsi="Calibri" w:cs="Calibri"/>
          <w:kern w:val="0"/>
          <w:lang w:val="en-IN" w:eastAsia="en-IN" w:bidi="hi-IN"/>
          <w14:ligatures w14:val="none"/>
        </w:rPr>
        <w:t>The topic given to me is an interesting one, especially in today’s political scenario in our country: </w:t>
      </w:r>
      <w:r w:rsidRPr="009C1231">
        <w:rPr>
          <w:rFonts w:ascii="Calibri" w:eastAsia="Times New Roman" w:hAnsi="Calibri" w:cs="Calibri"/>
          <w:b/>
          <w:bCs/>
          <w:kern w:val="0"/>
          <w:lang w:val="en-IN" w:eastAsia="en-IN" w:bidi="hi-IN"/>
          <w14:ligatures w14:val="none"/>
        </w:rPr>
        <w:t xml:space="preserve">Is </w:t>
      </w:r>
      <w:r w:rsidR="002122DA" w:rsidRPr="009C1231">
        <w:rPr>
          <w:rFonts w:ascii="Calibri" w:eastAsia="Times New Roman" w:hAnsi="Calibri" w:cs="Calibri"/>
          <w:b/>
          <w:bCs/>
          <w:kern w:val="0"/>
          <w:lang w:val="en-IN" w:eastAsia="en-IN" w:bidi="hi-IN"/>
          <w14:ligatures w14:val="none"/>
        </w:rPr>
        <w:t>Secularism Dead</w:t>
      </w:r>
      <w:r w:rsidRPr="009C1231">
        <w:rPr>
          <w:rFonts w:ascii="Calibri" w:eastAsia="Times New Roman" w:hAnsi="Calibri" w:cs="Calibri"/>
          <w:b/>
          <w:bCs/>
          <w:kern w:val="0"/>
          <w:lang w:val="en-IN" w:eastAsia="en-IN" w:bidi="hi-IN"/>
          <w14:ligatures w14:val="none"/>
        </w:rPr>
        <w:t>?</w:t>
      </w:r>
    </w:p>
    <w:p w14:paraId="6CCF4C28" w14:textId="77777777" w:rsidR="009C1231" w:rsidRPr="009C1231" w:rsidRDefault="009C1231" w:rsidP="009C1231">
      <w:pPr>
        <w:spacing w:after="0" w:line="240" w:lineRule="auto"/>
        <w:ind w:left="360"/>
        <w:jc w:val="both"/>
        <w:rPr>
          <w:rFonts w:ascii="Calibri" w:eastAsia="Times New Roman" w:hAnsi="Calibri" w:cs="Calibri"/>
          <w:kern w:val="0"/>
          <w:lang w:val="en-IN" w:eastAsia="en-IN" w:bidi="hi-IN"/>
          <w14:ligatures w14:val="none"/>
        </w:rPr>
      </w:pPr>
      <w:r w:rsidRPr="009C1231">
        <w:rPr>
          <w:rFonts w:ascii="Calibri" w:eastAsia="Times New Roman" w:hAnsi="Calibri" w:cs="Calibri"/>
          <w:b/>
          <w:bCs/>
          <w:kern w:val="0"/>
          <w:lang w:val="en-IN" w:eastAsia="en-IN" w:bidi="hi-IN"/>
          <w14:ligatures w14:val="none"/>
        </w:rPr>
        <w:t> </w:t>
      </w:r>
    </w:p>
    <w:p w14:paraId="67A98C45" w14:textId="77777777" w:rsidR="009C1231" w:rsidRPr="009C1231" w:rsidRDefault="009C1231" w:rsidP="009C1231">
      <w:pPr>
        <w:spacing w:after="0" w:line="240" w:lineRule="auto"/>
        <w:jc w:val="both"/>
        <w:rPr>
          <w:rFonts w:ascii="Calibri" w:eastAsia="Times New Roman" w:hAnsi="Calibri" w:cs="Calibri"/>
          <w:kern w:val="0"/>
          <w:lang w:val="en-IN" w:eastAsia="en-IN" w:bidi="hi-IN"/>
          <w14:ligatures w14:val="none"/>
        </w:rPr>
      </w:pPr>
      <w:r w:rsidRPr="009C1231">
        <w:rPr>
          <w:rFonts w:ascii="Calibri" w:eastAsia="Times New Roman" w:hAnsi="Calibri" w:cs="Calibri"/>
          <w:kern w:val="0"/>
          <w:lang w:val="en-IN" w:eastAsia="en-IN" w:bidi="hi-IN"/>
          <w14:ligatures w14:val="none"/>
        </w:rPr>
        <w:t>Let me answer that question straightaway in the negative. Secularism is NOT dead in our country despite some people wanting it to be dead. Mainly, this is because of people like you and the people of this state – Kerala. Nearly 70 to 75% of the Indian population still believes in secularism. I say 75% knowing very well that nearly about 40% are voting for those trying to kill secularism. And out of these 40% nearly about 15 to 20% also want secularism to survive.</w:t>
      </w:r>
    </w:p>
    <w:p w14:paraId="6E772913" w14:textId="77777777" w:rsidR="009C1231" w:rsidRPr="009C1231" w:rsidRDefault="009C1231" w:rsidP="009C1231">
      <w:pPr>
        <w:spacing w:after="0" w:line="240" w:lineRule="auto"/>
        <w:ind w:left="360"/>
        <w:jc w:val="both"/>
        <w:rPr>
          <w:rFonts w:ascii="Calibri" w:eastAsia="Times New Roman" w:hAnsi="Calibri" w:cs="Calibri"/>
          <w:kern w:val="0"/>
          <w:lang w:val="en-IN" w:eastAsia="en-IN" w:bidi="hi-IN"/>
          <w14:ligatures w14:val="none"/>
        </w:rPr>
      </w:pPr>
      <w:r w:rsidRPr="009C1231">
        <w:rPr>
          <w:rFonts w:ascii="Calibri" w:eastAsia="Times New Roman" w:hAnsi="Calibri" w:cs="Calibri"/>
          <w:kern w:val="0"/>
          <w:lang w:val="en-IN" w:eastAsia="en-IN" w:bidi="hi-IN"/>
          <w14:ligatures w14:val="none"/>
        </w:rPr>
        <w:t> </w:t>
      </w:r>
    </w:p>
    <w:p w14:paraId="6C6FC153" w14:textId="77777777" w:rsidR="009C1231" w:rsidRPr="009C1231" w:rsidRDefault="009C1231" w:rsidP="009C1231">
      <w:pPr>
        <w:spacing w:after="0" w:line="240" w:lineRule="auto"/>
        <w:jc w:val="both"/>
        <w:rPr>
          <w:rFonts w:ascii="Calibri" w:eastAsia="Times New Roman" w:hAnsi="Calibri" w:cs="Calibri"/>
          <w:kern w:val="0"/>
          <w:lang w:val="en-IN" w:eastAsia="en-IN" w:bidi="hi-IN"/>
          <w14:ligatures w14:val="none"/>
        </w:rPr>
      </w:pPr>
      <w:r w:rsidRPr="009C1231">
        <w:rPr>
          <w:rFonts w:ascii="Calibri" w:eastAsia="Times New Roman" w:hAnsi="Calibri" w:cs="Calibri"/>
          <w:kern w:val="0"/>
          <w:lang w:val="en-IN" w:eastAsia="en-IN" w:bidi="hi-IN"/>
          <w14:ligatures w14:val="none"/>
        </w:rPr>
        <w:t>Of course, there is no doubt that its practice faces deep strain and intense debate due to rising majoritarian politics. My understanding and most of you may agree with me that secularism means the state has no official religion and treats all people and faiths equally which in reality is the exact opposite under the current regime.</w:t>
      </w:r>
    </w:p>
    <w:p w14:paraId="16587E12" w14:textId="77777777" w:rsidR="009C1231" w:rsidRPr="009C1231" w:rsidRDefault="009C1231" w:rsidP="009C1231">
      <w:pPr>
        <w:spacing w:after="0" w:line="240" w:lineRule="auto"/>
        <w:jc w:val="both"/>
        <w:rPr>
          <w:rFonts w:ascii="Calibri" w:eastAsia="Times New Roman" w:hAnsi="Calibri" w:cs="Calibri"/>
          <w:kern w:val="0"/>
          <w:lang w:val="en-IN" w:eastAsia="en-IN" w:bidi="hi-IN"/>
          <w14:ligatures w14:val="none"/>
        </w:rPr>
      </w:pPr>
      <w:r w:rsidRPr="009C1231">
        <w:rPr>
          <w:rFonts w:ascii="Calibri" w:eastAsia="Times New Roman" w:hAnsi="Calibri" w:cs="Calibri"/>
          <w:kern w:val="0"/>
          <w:lang w:val="en-IN" w:eastAsia="en-IN" w:bidi="hi-IN"/>
          <w14:ligatures w14:val="none"/>
        </w:rPr>
        <w:t> </w:t>
      </w:r>
    </w:p>
    <w:p w14:paraId="5BE94830" w14:textId="77777777" w:rsidR="009C1231" w:rsidRPr="009C1231" w:rsidRDefault="009C1231" w:rsidP="009C1231">
      <w:pPr>
        <w:spacing w:after="0" w:line="240" w:lineRule="auto"/>
        <w:jc w:val="both"/>
        <w:rPr>
          <w:rFonts w:ascii="Calibri" w:eastAsia="Times New Roman" w:hAnsi="Calibri" w:cs="Calibri"/>
          <w:kern w:val="0"/>
          <w:lang w:val="en-IN" w:eastAsia="en-IN" w:bidi="hi-IN"/>
          <w14:ligatures w14:val="none"/>
        </w:rPr>
      </w:pPr>
      <w:r w:rsidRPr="009C1231">
        <w:rPr>
          <w:rFonts w:ascii="Calibri" w:eastAsia="Times New Roman" w:hAnsi="Calibri" w:cs="Calibri"/>
          <w:kern w:val="0"/>
          <w:lang w:val="en-IN" w:eastAsia="en-IN" w:bidi="hi-IN"/>
          <w14:ligatures w14:val="none"/>
        </w:rPr>
        <w:t>We have seen explicitly anti-secular forces who are today in power mixing government events with particular religious ceremonies including temple consecrations. These forces have framed laws like the Citizenship Amendment Act (CAA) using religion to decide citizenship, which violates constitution of India and may not stand legal scrutiny in any court of law because </w:t>
      </w:r>
      <w:r w:rsidRPr="009C1231">
        <w:rPr>
          <w:rFonts w:ascii="Calibri" w:eastAsia="Times New Roman" w:hAnsi="Calibri" w:cs="Calibri"/>
          <w:kern w:val="0"/>
          <w:lang w:eastAsia="en-IN" w:bidi="hi-IN"/>
          <w14:ligatures w14:val="none"/>
        </w:rPr>
        <w:t>The Indian Constitution still guarantees freedom of religion under Articles 25 through 28 </w:t>
      </w:r>
      <w:r w:rsidRPr="009C1231">
        <w:rPr>
          <w:rFonts w:ascii="Calibri" w:eastAsia="Times New Roman" w:hAnsi="Calibri" w:cs="Calibri"/>
          <w:kern w:val="0"/>
          <w:lang w:val="en-IN" w:eastAsia="en-IN" w:bidi="hi-IN"/>
          <w14:ligatures w14:val="none"/>
        </w:rPr>
        <w:t>– that’s why it is not being allowed the over 250 petitions challenging the constitutional validity of the CAA 2019 Act since 2024 to come up for hearing in Supreme Court – there is a tacit understanding between court registry and government attorneys. Instead, the Supreme Court declined to grant an interim stay on the implementation of the law and the 2024 rules.</w:t>
      </w:r>
    </w:p>
    <w:p w14:paraId="1F833680" w14:textId="77777777" w:rsidR="009C1231" w:rsidRPr="009C1231" w:rsidRDefault="009C1231" w:rsidP="009C1231">
      <w:pPr>
        <w:spacing w:after="0" w:line="240" w:lineRule="auto"/>
        <w:jc w:val="both"/>
        <w:rPr>
          <w:rFonts w:ascii="Calibri" w:eastAsia="Times New Roman" w:hAnsi="Calibri" w:cs="Calibri"/>
          <w:kern w:val="0"/>
          <w:lang w:val="en-IN" w:eastAsia="en-IN" w:bidi="hi-IN"/>
          <w14:ligatures w14:val="none"/>
        </w:rPr>
      </w:pPr>
      <w:r w:rsidRPr="009C1231">
        <w:rPr>
          <w:rFonts w:ascii="Calibri" w:eastAsia="Times New Roman" w:hAnsi="Calibri" w:cs="Calibri"/>
          <w:kern w:val="0"/>
          <w:lang w:val="en-IN" w:eastAsia="en-IN" w:bidi="hi-IN"/>
          <w14:ligatures w14:val="none"/>
        </w:rPr>
        <w:t> </w:t>
      </w:r>
    </w:p>
    <w:p w14:paraId="07CE96E8" w14:textId="77777777" w:rsidR="009C1231" w:rsidRPr="009C1231" w:rsidRDefault="009C1231" w:rsidP="009C1231">
      <w:pPr>
        <w:spacing w:after="0" w:line="240" w:lineRule="auto"/>
        <w:jc w:val="both"/>
        <w:rPr>
          <w:rFonts w:ascii="Calibri" w:eastAsia="Times New Roman" w:hAnsi="Calibri" w:cs="Calibri"/>
          <w:kern w:val="0"/>
          <w:lang w:val="en-IN" w:eastAsia="en-IN" w:bidi="hi-IN"/>
          <w14:ligatures w14:val="none"/>
        </w:rPr>
      </w:pPr>
      <w:r w:rsidRPr="009C1231">
        <w:rPr>
          <w:rFonts w:ascii="Calibri" w:eastAsia="Times New Roman" w:hAnsi="Calibri" w:cs="Calibri"/>
          <w:kern w:val="0"/>
          <w:lang w:val="en-IN" w:eastAsia="en-IN" w:bidi="hi-IN"/>
          <w14:ligatures w14:val="none"/>
        </w:rPr>
        <w:t>Right to equality is in danger under Article 14 of the Indian Constitution which guarantees equality before the law and equal protection of the laws to all persons residing in our country, not just citizens.</w:t>
      </w:r>
    </w:p>
    <w:p w14:paraId="1B8003EC" w14:textId="77777777" w:rsidR="009C1231" w:rsidRPr="009C1231" w:rsidRDefault="009C1231" w:rsidP="009C1231">
      <w:pPr>
        <w:spacing w:after="0" w:line="240" w:lineRule="auto"/>
        <w:jc w:val="both"/>
        <w:rPr>
          <w:rFonts w:ascii="Calibri" w:eastAsia="Times New Roman" w:hAnsi="Calibri" w:cs="Calibri"/>
          <w:kern w:val="0"/>
          <w:lang w:val="en-IN" w:eastAsia="en-IN" w:bidi="hi-IN"/>
          <w14:ligatures w14:val="none"/>
        </w:rPr>
      </w:pPr>
      <w:r w:rsidRPr="009C1231">
        <w:rPr>
          <w:rFonts w:ascii="Calibri" w:eastAsia="Times New Roman" w:hAnsi="Calibri" w:cs="Calibri"/>
          <w:kern w:val="0"/>
          <w:lang w:val="en-IN" w:eastAsia="en-IN" w:bidi="hi-IN"/>
          <w14:ligatures w14:val="none"/>
        </w:rPr>
        <w:t> </w:t>
      </w:r>
    </w:p>
    <w:p w14:paraId="19232CB5" w14:textId="77777777" w:rsidR="009C1231" w:rsidRPr="009C1231" w:rsidRDefault="009C1231" w:rsidP="009C1231">
      <w:pPr>
        <w:spacing w:after="0" w:line="240" w:lineRule="auto"/>
        <w:jc w:val="both"/>
        <w:rPr>
          <w:rFonts w:ascii="Calibri" w:eastAsia="Times New Roman" w:hAnsi="Calibri" w:cs="Calibri"/>
          <w:kern w:val="0"/>
          <w:lang w:val="en-IN" w:eastAsia="en-IN" w:bidi="hi-IN"/>
          <w14:ligatures w14:val="none"/>
        </w:rPr>
      </w:pPr>
      <w:r w:rsidRPr="009C1231">
        <w:rPr>
          <w:rFonts w:ascii="Calibri" w:eastAsia="Times New Roman" w:hAnsi="Calibri" w:cs="Calibri"/>
          <w:kern w:val="0"/>
          <w:lang w:val="en-IN" w:eastAsia="en-IN" w:bidi="hi-IN"/>
          <w14:ligatures w14:val="none"/>
        </w:rPr>
        <w:t>By pairing the CAA with a potential nationwide National Register of Citizens (NRC), petitioners claim that undocumented immigrants face a unique, discriminatory risk of detention or deportation without fair legal recourse, while undocumented immigrants belonging to a particular religion are protected by the CAA.</w:t>
      </w:r>
    </w:p>
    <w:p w14:paraId="7576E987" w14:textId="77777777" w:rsidR="009C1231" w:rsidRPr="009C1231" w:rsidRDefault="009C1231" w:rsidP="009C1231">
      <w:pPr>
        <w:spacing w:after="0" w:line="240" w:lineRule="auto"/>
        <w:rPr>
          <w:rFonts w:ascii="Calibri" w:eastAsia="Times New Roman" w:hAnsi="Calibri" w:cs="Calibri"/>
          <w:kern w:val="0"/>
          <w:lang w:val="en-IN" w:eastAsia="en-IN" w:bidi="hi-IN"/>
          <w14:ligatures w14:val="none"/>
        </w:rPr>
      </w:pPr>
      <w:r w:rsidRPr="009C1231">
        <w:rPr>
          <w:rFonts w:ascii="Arial" w:eastAsia="Times New Roman" w:hAnsi="Arial" w:cs="Arial"/>
          <w:kern w:val="0"/>
          <w:sz w:val="24"/>
          <w:szCs w:val="24"/>
          <w:lang w:val="en-IN" w:eastAsia="en-IN" w:bidi="hi-IN"/>
          <w14:ligatures w14:val="none"/>
        </w:rPr>
        <w:t> </w:t>
      </w:r>
    </w:p>
    <w:p w14:paraId="6DE9CEB6" w14:textId="77777777" w:rsidR="009C1231" w:rsidRPr="009C1231" w:rsidRDefault="009C1231" w:rsidP="009C1231">
      <w:pPr>
        <w:spacing w:after="0" w:line="240" w:lineRule="auto"/>
        <w:jc w:val="both"/>
        <w:rPr>
          <w:rFonts w:ascii="Calibri" w:eastAsia="Times New Roman" w:hAnsi="Calibri" w:cs="Calibri"/>
          <w:kern w:val="0"/>
          <w:lang w:val="en-IN" w:eastAsia="en-IN" w:bidi="hi-IN"/>
          <w14:ligatures w14:val="none"/>
        </w:rPr>
      </w:pPr>
      <w:r w:rsidRPr="009C1231">
        <w:rPr>
          <w:rFonts w:ascii="Calibri" w:eastAsia="Times New Roman" w:hAnsi="Calibri" w:cs="Calibri"/>
          <w:kern w:val="0"/>
          <w:lang w:val="en-IN" w:eastAsia="en-IN" w:bidi="hi-IN"/>
          <w14:ligatures w14:val="none"/>
        </w:rPr>
        <w:t xml:space="preserve">So-called Freedom of Religion Acts, popularly known as anti-conversion laws blatantly deny religious freedom and minority rights against the constitutional principle of secularism. </w:t>
      </w:r>
    </w:p>
    <w:p w14:paraId="3DAC00E5" w14:textId="77777777" w:rsidR="009C1231" w:rsidRPr="009C1231" w:rsidRDefault="009C1231" w:rsidP="009C1231">
      <w:pPr>
        <w:spacing w:after="0" w:line="240" w:lineRule="auto"/>
        <w:jc w:val="both"/>
        <w:rPr>
          <w:rFonts w:ascii="Calibri" w:eastAsia="Times New Roman" w:hAnsi="Calibri" w:cs="Calibri"/>
          <w:kern w:val="0"/>
          <w:lang w:val="en-IN" w:eastAsia="en-IN" w:bidi="hi-IN"/>
          <w14:ligatures w14:val="none"/>
        </w:rPr>
      </w:pPr>
      <w:r w:rsidRPr="009C1231">
        <w:rPr>
          <w:rFonts w:ascii="Calibri" w:eastAsia="Times New Roman" w:hAnsi="Calibri" w:cs="Calibri"/>
          <w:kern w:val="0"/>
          <w:lang w:eastAsia="en-IN" w:bidi="hi-IN"/>
          <w14:ligatures w14:val="none"/>
        </w:rPr>
        <w:t> </w:t>
      </w:r>
    </w:p>
    <w:p w14:paraId="0AAB36DF" w14:textId="77777777" w:rsidR="009C1231" w:rsidRPr="009C1231" w:rsidRDefault="009C1231" w:rsidP="009C1231">
      <w:pPr>
        <w:spacing w:after="0" w:line="240" w:lineRule="auto"/>
        <w:jc w:val="both"/>
        <w:rPr>
          <w:rFonts w:ascii="Calibri" w:eastAsia="Times New Roman" w:hAnsi="Calibri" w:cs="Calibri"/>
          <w:kern w:val="0"/>
          <w:lang w:val="en-IN" w:eastAsia="en-IN" w:bidi="hi-IN"/>
          <w14:ligatures w14:val="none"/>
        </w:rPr>
      </w:pPr>
      <w:r w:rsidRPr="009C1231">
        <w:rPr>
          <w:rFonts w:ascii="Calibri" w:eastAsia="Times New Roman" w:hAnsi="Calibri" w:cs="Calibri"/>
          <w:kern w:val="0"/>
          <w:lang w:eastAsia="en-IN" w:bidi="hi-IN"/>
          <w14:ligatures w14:val="none"/>
        </w:rPr>
        <w:t xml:space="preserve">Odisha, then Orissa, became the first state to introduce such legislation in 1967. Since then, similar laws have been enacted in </w:t>
      </w:r>
      <w:proofErr w:type="gramStart"/>
      <w:r w:rsidRPr="009C1231">
        <w:rPr>
          <w:rFonts w:ascii="Calibri" w:eastAsia="Times New Roman" w:hAnsi="Calibri" w:cs="Calibri"/>
          <w:kern w:val="0"/>
          <w:lang w:eastAsia="en-IN" w:bidi="hi-IN"/>
          <w14:ligatures w14:val="none"/>
        </w:rPr>
        <w:t>a number of</w:t>
      </w:r>
      <w:proofErr w:type="gramEnd"/>
      <w:r w:rsidRPr="009C1231">
        <w:rPr>
          <w:rFonts w:ascii="Calibri" w:eastAsia="Times New Roman" w:hAnsi="Calibri" w:cs="Calibri"/>
          <w:kern w:val="0"/>
          <w:lang w:eastAsia="en-IN" w:bidi="hi-IN"/>
          <w14:ligatures w14:val="none"/>
        </w:rPr>
        <w:t xml:space="preserve"> states, with their adoption expanding considerably, particularly after 2014. At present, such legislation exists in Arunachal Pradesh, Chhattisgarh, Gujarat, Haryana, Himachal Pradesh, Jharkhand, Karnataka, Madhya Pradesh, Odisha, Rajasthan, Uttarakhand, and Uttar Pradesh and now Maharashtra. Although the specific provisions differ from state to state, these laws generally prohibit conversions obtained through force, misrepresentation, coercion, undue influence, fraud, or “allurement.” The term “allurement” is sometimes defined broadly and may include promises or offers relating to financial assistance, free education, material benefits, or an improved standard of living.</w:t>
      </w:r>
    </w:p>
    <w:p w14:paraId="6564CF25" w14:textId="77777777" w:rsidR="009C1231" w:rsidRPr="009C1231" w:rsidRDefault="009C1231" w:rsidP="009C1231">
      <w:pPr>
        <w:spacing w:after="0" w:line="240" w:lineRule="auto"/>
        <w:jc w:val="both"/>
        <w:rPr>
          <w:rFonts w:ascii="Calibri" w:eastAsia="Times New Roman" w:hAnsi="Calibri" w:cs="Calibri"/>
          <w:kern w:val="0"/>
          <w:lang w:val="en-IN" w:eastAsia="en-IN" w:bidi="hi-IN"/>
          <w14:ligatures w14:val="none"/>
        </w:rPr>
      </w:pPr>
      <w:r w:rsidRPr="009C1231">
        <w:rPr>
          <w:rFonts w:ascii="Calibri" w:eastAsia="Times New Roman" w:hAnsi="Calibri" w:cs="Calibri"/>
          <w:kern w:val="0"/>
          <w:lang w:eastAsia="en-IN" w:bidi="hi-IN"/>
          <w14:ligatures w14:val="none"/>
        </w:rPr>
        <w:t> </w:t>
      </w:r>
    </w:p>
    <w:p w14:paraId="676B98E1" w14:textId="77777777" w:rsidR="009C1231" w:rsidRPr="009C1231" w:rsidRDefault="009C1231" w:rsidP="009C1231">
      <w:pPr>
        <w:spacing w:after="0" w:line="240" w:lineRule="auto"/>
        <w:jc w:val="both"/>
        <w:rPr>
          <w:rFonts w:ascii="Calibri" w:eastAsia="Times New Roman" w:hAnsi="Calibri" w:cs="Calibri"/>
          <w:kern w:val="0"/>
          <w:lang w:val="en-IN" w:eastAsia="en-IN" w:bidi="hi-IN"/>
          <w14:ligatures w14:val="none"/>
        </w:rPr>
      </w:pPr>
      <w:r w:rsidRPr="009C1231">
        <w:rPr>
          <w:rFonts w:ascii="Calibri" w:eastAsia="Times New Roman" w:hAnsi="Calibri" w:cs="Calibri"/>
          <w:kern w:val="0"/>
          <w:lang w:eastAsia="en-IN" w:bidi="hi-IN"/>
          <w14:ligatures w14:val="none"/>
        </w:rPr>
        <w:t>Several of these laws also introduce procedural requirements that extend government oversight over religious conversion. In certain states, individuals wishing to change their religion, as well as religious persons conducting the conversion ceremony, are required to provide advance notice to the District Magistrate, sometimes several weeks before the proposed conversion. Some laws also depart from the ordinary principles of criminal procedure by placing the burden of establishing the voluntary nature of a conversion on the accused or on the person facilitating the conversion. These provisions have raised concerns regarding privacy, individual autonomy, and the potential for state interference in matters of personal belief and conscience.</w:t>
      </w:r>
    </w:p>
    <w:p w14:paraId="25D4D2CC" w14:textId="77777777" w:rsidR="009C1231" w:rsidRPr="009C1231" w:rsidRDefault="009C1231" w:rsidP="009C1231">
      <w:pPr>
        <w:spacing w:after="0" w:line="240" w:lineRule="auto"/>
        <w:jc w:val="both"/>
        <w:rPr>
          <w:rFonts w:ascii="Calibri" w:eastAsia="Times New Roman" w:hAnsi="Calibri" w:cs="Calibri"/>
          <w:kern w:val="0"/>
          <w:lang w:val="en-IN" w:eastAsia="en-IN" w:bidi="hi-IN"/>
          <w14:ligatures w14:val="none"/>
        </w:rPr>
      </w:pPr>
      <w:r w:rsidRPr="009C1231">
        <w:rPr>
          <w:rFonts w:ascii="Calibri" w:eastAsia="Times New Roman" w:hAnsi="Calibri" w:cs="Calibri"/>
          <w:kern w:val="0"/>
          <w:lang w:eastAsia="en-IN" w:bidi="hi-IN"/>
          <w14:ligatures w14:val="none"/>
        </w:rPr>
        <w:t> </w:t>
      </w:r>
    </w:p>
    <w:p w14:paraId="70A79487" w14:textId="77777777" w:rsidR="009C1231" w:rsidRPr="009C1231" w:rsidRDefault="009C1231" w:rsidP="009C1231">
      <w:pPr>
        <w:spacing w:after="0" w:line="240" w:lineRule="auto"/>
        <w:jc w:val="both"/>
        <w:rPr>
          <w:rFonts w:ascii="Calibri" w:eastAsia="Times New Roman" w:hAnsi="Calibri" w:cs="Calibri"/>
          <w:kern w:val="0"/>
          <w:lang w:val="en-IN" w:eastAsia="en-IN" w:bidi="hi-IN"/>
          <w14:ligatures w14:val="none"/>
        </w:rPr>
      </w:pPr>
      <w:r w:rsidRPr="009C1231">
        <w:rPr>
          <w:rFonts w:ascii="Calibri" w:eastAsia="Times New Roman" w:hAnsi="Calibri" w:cs="Calibri"/>
          <w:kern w:val="0"/>
          <w:lang w:eastAsia="en-IN" w:bidi="hi-IN"/>
          <w14:ligatures w14:val="none"/>
        </w:rPr>
        <w:t>The constitutional debate surrounding anti-conversion legislation is closely connected with Article 25 of the Constitution, which guarantees every person the freedom to freely profess, practice, and propagate religion, subject to constitutional limitations. The Supreme Court's judgment in *Rev. Stanislaus v. State of Madhya Pradesh* (1977) played an important role in shaping the legal framework for these laws. The Court held that the constitutional right to propagate religion does not include a fundamental right to convert another person through force or fraudulent means. The judgment subsequently provided significant constitutional support for state legislation intended to regulate coercive or fraudulent religious conversion.</w:t>
      </w:r>
    </w:p>
    <w:p w14:paraId="67F9F6A0" w14:textId="77777777" w:rsidR="009C1231" w:rsidRPr="009C1231" w:rsidRDefault="009C1231" w:rsidP="009C1231">
      <w:pPr>
        <w:spacing w:after="0" w:line="240" w:lineRule="auto"/>
        <w:jc w:val="both"/>
        <w:rPr>
          <w:rFonts w:ascii="Calibri" w:eastAsia="Times New Roman" w:hAnsi="Calibri" w:cs="Calibri"/>
          <w:kern w:val="0"/>
          <w:lang w:val="en-IN" w:eastAsia="en-IN" w:bidi="hi-IN"/>
          <w14:ligatures w14:val="none"/>
        </w:rPr>
      </w:pPr>
    </w:p>
    <w:p w14:paraId="7B77546D" w14:textId="77777777" w:rsidR="009C1231" w:rsidRPr="009C1231" w:rsidRDefault="009C1231" w:rsidP="009C1231">
      <w:pPr>
        <w:spacing w:after="0" w:line="240" w:lineRule="auto"/>
        <w:jc w:val="both"/>
        <w:rPr>
          <w:rFonts w:ascii="Calibri" w:eastAsia="Times New Roman" w:hAnsi="Calibri" w:cs="Calibri"/>
          <w:kern w:val="0"/>
          <w:lang w:val="en-IN" w:eastAsia="en-IN" w:bidi="hi-IN"/>
          <w14:ligatures w14:val="none"/>
        </w:rPr>
      </w:pPr>
      <w:r w:rsidRPr="009C1231">
        <w:rPr>
          <w:rFonts w:ascii="Calibri" w:eastAsia="Times New Roman" w:hAnsi="Calibri" w:cs="Calibri"/>
          <w:kern w:val="0"/>
          <w:lang w:eastAsia="en-IN" w:bidi="hi-IN"/>
          <w14:ligatures w14:val="none"/>
        </w:rPr>
        <w:t>In recent years, however, certain state laws have significantly expanded the degree of governmental supervision over conversion. The legislation in Uttar Pradesh, for example, contains provisions relating to advance notification, investigation of alleged unlawful conversions, and the allocation of evidentiary burdens. The ability of third parties to initiate complaints has also generated controversy. Critics argue that these provisions can be misused to interfere with interfaith relationships and marriages, particularly where relationships between individuals belonging to different religious communities are portrayed as instances of forced conversion or as part of the politically charged allegation commonly described as “love jihad.”</w:t>
      </w:r>
    </w:p>
    <w:p w14:paraId="2BEEE6EA" w14:textId="77777777" w:rsidR="009C1231" w:rsidRPr="009C1231" w:rsidRDefault="009C1231" w:rsidP="009C1231">
      <w:pPr>
        <w:spacing w:after="0" w:line="240" w:lineRule="auto"/>
        <w:jc w:val="both"/>
        <w:rPr>
          <w:rFonts w:ascii="Calibri" w:eastAsia="Times New Roman" w:hAnsi="Calibri" w:cs="Calibri"/>
          <w:kern w:val="0"/>
          <w:lang w:val="en-IN" w:eastAsia="en-IN" w:bidi="hi-IN"/>
          <w14:ligatures w14:val="none"/>
        </w:rPr>
      </w:pPr>
      <w:r w:rsidRPr="009C1231">
        <w:rPr>
          <w:rFonts w:ascii="Calibri" w:eastAsia="Times New Roman" w:hAnsi="Calibri" w:cs="Calibri"/>
          <w:kern w:val="0"/>
          <w:lang w:eastAsia="en-IN" w:bidi="hi-IN"/>
          <w14:ligatures w14:val="none"/>
        </w:rPr>
        <w:t> </w:t>
      </w:r>
    </w:p>
    <w:p w14:paraId="071D68AB" w14:textId="77777777" w:rsidR="009C1231" w:rsidRPr="009C1231" w:rsidRDefault="009C1231" w:rsidP="009C1231">
      <w:pPr>
        <w:spacing w:after="0" w:line="240" w:lineRule="auto"/>
        <w:jc w:val="both"/>
        <w:rPr>
          <w:rFonts w:ascii="Calibri" w:eastAsia="Times New Roman" w:hAnsi="Calibri" w:cs="Calibri"/>
          <w:kern w:val="0"/>
          <w:lang w:val="en-IN" w:eastAsia="en-IN" w:bidi="hi-IN"/>
          <w14:ligatures w14:val="none"/>
        </w:rPr>
      </w:pPr>
      <w:r w:rsidRPr="009C1231">
        <w:rPr>
          <w:rFonts w:ascii="Calibri" w:eastAsia="Times New Roman" w:hAnsi="Calibri" w:cs="Calibri"/>
          <w:kern w:val="0"/>
          <w:lang w:eastAsia="en-IN" w:bidi="hi-IN"/>
          <w14:ligatures w14:val="none"/>
        </w:rPr>
        <w:t>The implementation of these laws has consequently become an important part of the wider debate. Available data concerning Uttar Pradesh indicate that hundreds of cases have been registered and more than a thousand individuals have been arrested under the state's anti-conversion legislation, while the number of convictions has remained comparatively low. This disparity has prompted concerns among civil society organizations and legal commentators regarding the possibility of misuse, prolonged criminal proceedings, and the use of anti-conversion legislation as a means of intimidation or harassment rather than solely as a mechanism for preventing genuinely coercive conversions.</w:t>
      </w:r>
    </w:p>
    <w:p w14:paraId="0E450A71" w14:textId="77777777" w:rsidR="009C1231" w:rsidRPr="009C1231" w:rsidRDefault="009C1231" w:rsidP="009C1231">
      <w:pPr>
        <w:spacing w:after="0" w:line="240" w:lineRule="auto"/>
        <w:jc w:val="both"/>
        <w:rPr>
          <w:rFonts w:ascii="Calibri" w:eastAsia="Times New Roman" w:hAnsi="Calibri" w:cs="Calibri"/>
          <w:kern w:val="0"/>
          <w:lang w:val="en-IN" w:eastAsia="en-IN" w:bidi="hi-IN"/>
          <w14:ligatures w14:val="none"/>
        </w:rPr>
      </w:pPr>
      <w:r w:rsidRPr="009C1231">
        <w:rPr>
          <w:rFonts w:ascii="Calibri" w:eastAsia="Times New Roman" w:hAnsi="Calibri" w:cs="Calibri"/>
          <w:kern w:val="0"/>
          <w:lang w:eastAsia="en-IN" w:bidi="hi-IN"/>
          <w14:ligatures w14:val="none"/>
        </w:rPr>
        <w:t> </w:t>
      </w:r>
    </w:p>
    <w:p w14:paraId="09AE4BE0" w14:textId="77777777" w:rsidR="009C1231" w:rsidRPr="009C1231" w:rsidRDefault="009C1231" w:rsidP="009C1231">
      <w:pPr>
        <w:spacing w:after="0" w:line="240" w:lineRule="auto"/>
        <w:jc w:val="both"/>
        <w:rPr>
          <w:rFonts w:ascii="Calibri" w:eastAsia="Times New Roman" w:hAnsi="Calibri" w:cs="Calibri"/>
          <w:kern w:val="0"/>
          <w:lang w:val="en-IN" w:eastAsia="en-IN" w:bidi="hi-IN"/>
          <w14:ligatures w14:val="none"/>
        </w:rPr>
      </w:pPr>
      <w:r w:rsidRPr="009C1231">
        <w:rPr>
          <w:rFonts w:ascii="Calibri" w:eastAsia="Times New Roman" w:hAnsi="Calibri" w:cs="Calibri"/>
          <w:kern w:val="0"/>
          <w:lang w:eastAsia="en-IN" w:bidi="hi-IN"/>
          <w14:ligatures w14:val="none"/>
        </w:rPr>
        <w:t>The constitutional validity of anti-conversion laws has also become a subject of judicial scrutiny. Challenges before the Supreme Court raise questions concerning whether certain provisions are compatible with fundamental rights, including the guarantees of equality under Article 14, personal liberty and dignity under Article 21, freedom of religion under Article 25, and the rights of religious denominations under Article 26. The litigation also raises broader questions concerning the relationship between state regulation, individual autonomy, religious choice, and the secular character of the Indian Constitution. The compatibility of certain procedural requirements with laws governing marriage, including the Special Marriage Act, has likewise become part of the broader legal debate.</w:t>
      </w:r>
    </w:p>
    <w:p w14:paraId="7EA1740A" w14:textId="77777777" w:rsidR="009C1231" w:rsidRPr="009C1231" w:rsidRDefault="009C1231" w:rsidP="009C1231">
      <w:pPr>
        <w:spacing w:after="0" w:line="240" w:lineRule="auto"/>
        <w:jc w:val="both"/>
        <w:rPr>
          <w:rFonts w:ascii="Calibri" w:eastAsia="Times New Roman" w:hAnsi="Calibri" w:cs="Calibri"/>
          <w:kern w:val="0"/>
          <w:lang w:val="en-IN" w:eastAsia="en-IN" w:bidi="hi-IN"/>
          <w14:ligatures w14:val="none"/>
        </w:rPr>
      </w:pPr>
      <w:r w:rsidRPr="009C1231">
        <w:rPr>
          <w:rFonts w:ascii="Calibri" w:eastAsia="Times New Roman" w:hAnsi="Calibri" w:cs="Calibri"/>
          <w:kern w:val="0"/>
          <w:lang w:eastAsia="en-IN" w:bidi="hi-IN"/>
          <w14:ligatures w14:val="none"/>
        </w:rPr>
        <w:t> </w:t>
      </w:r>
    </w:p>
    <w:p w14:paraId="12ED8F28" w14:textId="77777777" w:rsidR="009C1231" w:rsidRPr="009C1231" w:rsidRDefault="009C1231" w:rsidP="009C1231">
      <w:pPr>
        <w:spacing w:after="0" w:line="240" w:lineRule="auto"/>
        <w:jc w:val="both"/>
        <w:rPr>
          <w:rFonts w:ascii="Calibri" w:eastAsia="Times New Roman" w:hAnsi="Calibri" w:cs="Calibri"/>
          <w:kern w:val="0"/>
          <w:lang w:val="en-IN" w:eastAsia="en-IN" w:bidi="hi-IN"/>
          <w14:ligatures w14:val="none"/>
        </w:rPr>
      </w:pPr>
      <w:r w:rsidRPr="009C1231">
        <w:rPr>
          <w:rFonts w:ascii="Calibri" w:eastAsia="Times New Roman" w:hAnsi="Calibri" w:cs="Calibri"/>
          <w:kern w:val="0"/>
          <w:lang w:eastAsia="en-IN" w:bidi="hi-IN"/>
          <w14:ligatures w14:val="none"/>
        </w:rPr>
        <w:t>The debate over anti-conversion laws in India therefore extends beyond the question of preventing coercive religious conversion. It involves a fundamental constitutional tension between the state's responsibility to protect individuals from fraud, force, and exploitation and the individual's right to autonomy, conscience, dignity, and freedom of religion. While preventing involuntary conversion is a legitimate objective, the implementation of such laws must remain consistent with constitutional safeguards and due process. Broad definitions, excessive administrative requirements, reversal of the burden of proof, and the possibility of third-party complaints can create significant risks for religious minorities and interfaith couples if they are applied arbitrarily. A constitutionally balanced approach should therefore ensure that genuine coercion and fraud are effectively addressed while protecting the right of every individual to make voluntary decisions about faith, belief, marriage, and personal identity. Such a balance is essential for preserving India's commitments to secularism, equality, religious liberty, and individual dignity.</w:t>
      </w:r>
    </w:p>
    <w:p w14:paraId="3E99BE2F" w14:textId="77777777" w:rsidR="009C1231" w:rsidRPr="009C1231" w:rsidRDefault="009C1231" w:rsidP="009C1231">
      <w:pPr>
        <w:spacing w:after="0" w:line="240" w:lineRule="auto"/>
        <w:jc w:val="both"/>
        <w:rPr>
          <w:rFonts w:ascii="Calibri" w:eastAsia="Times New Roman" w:hAnsi="Calibri" w:cs="Calibri"/>
          <w:kern w:val="0"/>
          <w:lang w:val="en-IN" w:eastAsia="en-IN" w:bidi="hi-IN"/>
          <w14:ligatures w14:val="none"/>
        </w:rPr>
      </w:pPr>
      <w:r w:rsidRPr="009C1231">
        <w:rPr>
          <w:rFonts w:ascii="Calibri" w:eastAsia="Times New Roman" w:hAnsi="Calibri" w:cs="Calibri"/>
          <w:kern w:val="0"/>
          <w:lang w:val="en-IN" w:eastAsia="en-IN" w:bidi="hi-IN"/>
          <w14:ligatures w14:val="none"/>
        </w:rPr>
        <w:t> </w:t>
      </w:r>
    </w:p>
    <w:p w14:paraId="2B21E3F2" w14:textId="77777777" w:rsidR="009C1231" w:rsidRPr="009C1231" w:rsidRDefault="009C1231" w:rsidP="009C1231">
      <w:pPr>
        <w:spacing w:after="0" w:line="240" w:lineRule="auto"/>
        <w:jc w:val="both"/>
        <w:rPr>
          <w:rFonts w:ascii="Calibri" w:eastAsia="Times New Roman" w:hAnsi="Calibri" w:cs="Calibri"/>
          <w:kern w:val="0"/>
          <w:lang w:val="en-IN" w:eastAsia="en-IN" w:bidi="hi-IN"/>
          <w14:ligatures w14:val="none"/>
        </w:rPr>
      </w:pPr>
      <w:r w:rsidRPr="009C1231">
        <w:rPr>
          <w:rFonts w:ascii="Calibri" w:eastAsia="Times New Roman" w:hAnsi="Calibri" w:cs="Calibri"/>
          <w:kern w:val="0"/>
          <w:lang w:eastAsia="en-IN" w:bidi="hi-IN"/>
          <w14:ligatures w14:val="none"/>
        </w:rPr>
        <w:t>Christians in India have, in different regions and circumstances, experienced various forms of religiously motivated hostility. Reported incidents have included the burning and destruction of churches, disruption of religious gatherings, physical assaults, intimidation, sexual violence, murder, and attacks on Christian educational and charitable institutions, as well as cemeteries and other religious properties. Such acts of violence are often associated with broader communal tensions and may be exploited by organizations or groups seeking to promote political or ideological interests through religious polarization.</w:t>
      </w:r>
    </w:p>
    <w:p w14:paraId="4E3290B5" w14:textId="77777777" w:rsidR="009C1231" w:rsidRPr="009C1231" w:rsidRDefault="009C1231" w:rsidP="009C1231">
      <w:pPr>
        <w:spacing w:after="0" w:line="240" w:lineRule="auto"/>
        <w:jc w:val="both"/>
        <w:rPr>
          <w:rFonts w:ascii="Calibri" w:eastAsia="Times New Roman" w:hAnsi="Calibri" w:cs="Calibri"/>
          <w:kern w:val="0"/>
          <w:lang w:val="en-IN" w:eastAsia="en-IN" w:bidi="hi-IN"/>
          <w14:ligatures w14:val="none"/>
        </w:rPr>
      </w:pPr>
    </w:p>
    <w:p w14:paraId="04E648C6" w14:textId="77777777" w:rsidR="009C1231" w:rsidRPr="009C1231" w:rsidRDefault="009C1231" w:rsidP="009C1231">
      <w:pPr>
        <w:spacing w:after="0" w:line="240" w:lineRule="auto"/>
        <w:jc w:val="both"/>
        <w:rPr>
          <w:rFonts w:ascii="Calibri" w:eastAsia="Times New Roman" w:hAnsi="Calibri" w:cs="Calibri"/>
          <w:kern w:val="0"/>
          <w:lang w:val="en-IN" w:eastAsia="en-IN" w:bidi="hi-IN"/>
          <w14:ligatures w14:val="none"/>
        </w:rPr>
      </w:pPr>
      <w:r w:rsidRPr="009C1231">
        <w:rPr>
          <w:rFonts w:ascii="Calibri" w:eastAsia="Times New Roman" w:hAnsi="Calibri" w:cs="Calibri"/>
          <w:kern w:val="0"/>
          <w:lang w:eastAsia="en-IN" w:bidi="hi-IN"/>
          <w14:ligatures w14:val="none"/>
        </w:rPr>
        <w:t>Reports from international human rights and Indian based organizations indicate that violence against Christians cannot be attributed to a single cause. Rather, it is influenced by a complex interaction of religious, social, political, and legal factors. Numerous incidents involving Christians are reported across different parts of India each year. Government institutions and civil society organizations have also documented cases of attacks and other forms of religiously motivated hostility, although the number and classification of such incidents may vary considerably between different sources.</w:t>
      </w:r>
    </w:p>
    <w:p w14:paraId="11827F51" w14:textId="77777777" w:rsidR="009C1231" w:rsidRPr="009C1231" w:rsidRDefault="009C1231" w:rsidP="009C1231">
      <w:pPr>
        <w:spacing w:after="0" w:line="240" w:lineRule="auto"/>
        <w:jc w:val="both"/>
        <w:rPr>
          <w:rFonts w:ascii="Calibri" w:eastAsia="Times New Roman" w:hAnsi="Calibri" w:cs="Calibri"/>
          <w:kern w:val="0"/>
          <w:lang w:val="en-IN" w:eastAsia="en-IN" w:bidi="hi-IN"/>
          <w14:ligatures w14:val="none"/>
        </w:rPr>
      </w:pPr>
      <w:r w:rsidRPr="009C1231">
        <w:rPr>
          <w:rFonts w:ascii="Calibri" w:eastAsia="Times New Roman" w:hAnsi="Calibri" w:cs="Calibri"/>
          <w:kern w:val="0"/>
          <w:lang w:eastAsia="en-IN" w:bidi="hi-IN"/>
          <w14:ligatures w14:val="none"/>
        </w:rPr>
        <w:t> </w:t>
      </w:r>
    </w:p>
    <w:p w14:paraId="565B006B" w14:textId="77777777" w:rsidR="009C1231" w:rsidRPr="009C1231" w:rsidRDefault="009C1231" w:rsidP="009C1231">
      <w:pPr>
        <w:spacing w:after="0" w:line="240" w:lineRule="auto"/>
        <w:jc w:val="both"/>
        <w:rPr>
          <w:rFonts w:ascii="Calibri" w:eastAsia="Times New Roman" w:hAnsi="Calibri" w:cs="Calibri"/>
          <w:kern w:val="0"/>
          <w:lang w:val="en-IN" w:eastAsia="en-IN" w:bidi="hi-IN"/>
          <w14:ligatures w14:val="none"/>
        </w:rPr>
      </w:pPr>
      <w:r w:rsidRPr="009C1231">
        <w:rPr>
          <w:rFonts w:ascii="Calibri" w:eastAsia="Times New Roman" w:hAnsi="Calibri" w:cs="Calibri"/>
          <w:kern w:val="0"/>
          <w:lang w:eastAsia="en-IN" w:bidi="hi-IN"/>
          <w14:ligatures w14:val="none"/>
        </w:rPr>
        <w:t xml:space="preserve">One of the major factors contributing to tensions involving Christian communities is the community’s association with acts of religious conversion. Christian pastors, missionaries, and churches are sometimes accused of converting individuals through force, fraud, or material inducement. While such allegations are frequently contested and may require judicial determination, accusations of forced or fraudulent conversion have, in several instances, resulted in </w:t>
      </w:r>
      <w:r w:rsidRPr="009C1231">
        <w:rPr>
          <w:rFonts w:ascii="Calibri" w:eastAsia="Times New Roman" w:hAnsi="Calibri" w:cs="Calibri"/>
          <w:kern w:val="0"/>
          <w:lang w:eastAsia="en-IN" w:bidi="hi-IN"/>
          <w14:ligatures w14:val="none"/>
        </w:rPr>
        <w:lastRenderedPageBreak/>
        <w:t>police complaints, interruptions of prayer services, harassment of religious leaders, and confrontations involving Christian communities. The implementation of anti-conversion legislation or “Freedom of Religion Acts” in several Indian states has further contributed to debates surrounding religious freedom. Critics argue that the laws can create an environment in which allegations of unlawful conversion are made before the facts have been properly investigated or established through due legal process.</w:t>
      </w:r>
    </w:p>
    <w:p w14:paraId="7C2BF956" w14:textId="77777777" w:rsidR="009C1231" w:rsidRPr="009C1231" w:rsidRDefault="009C1231" w:rsidP="009C1231">
      <w:pPr>
        <w:spacing w:after="0" w:line="240" w:lineRule="auto"/>
        <w:jc w:val="both"/>
        <w:rPr>
          <w:rFonts w:ascii="Calibri" w:eastAsia="Times New Roman" w:hAnsi="Calibri" w:cs="Calibri"/>
          <w:kern w:val="0"/>
          <w:lang w:val="en-IN" w:eastAsia="en-IN" w:bidi="hi-IN"/>
          <w14:ligatures w14:val="none"/>
        </w:rPr>
      </w:pPr>
      <w:r w:rsidRPr="009C1231">
        <w:rPr>
          <w:rFonts w:ascii="Calibri" w:eastAsia="Times New Roman" w:hAnsi="Calibri" w:cs="Calibri"/>
          <w:kern w:val="0"/>
          <w:lang w:eastAsia="en-IN" w:bidi="hi-IN"/>
          <w14:ligatures w14:val="none"/>
        </w:rPr>
        <w:t> </w:t>
      </w:r>
    </w:p>
    <w:p w14:paraId="3E094ABC" w14:textId="77777777" w:rsidR="009C1231" w:rsidRPr="009C1231" w:rsidRDefault="009C1231" w:rsidP="009C1231">
      <w:pPr>
        <w:spacing w:after="0" w:line="240" w:lineRule="auto"/>
        <w:jc w:val="both"/>
        <w:rPr>
          <w:rFonts w:ascii="Calibri" w:eastAsia="Times New Roman" w:hAnsi="Calibri" w:cs="Calibri"/>
          <w:kern w:val="0"/>
          <w:lang w:val="en-IN" w:eastAsia="en-IN" w:bidi="hi-IN"/>
          <w14:ligatures w14:val="none"/>
        </w:rPr>
      </w:pPr>
      <w:r w:rsidRPr="009C1231">
        <w:rPr>
          <w:rFonts w:ascii="Calibri" w:eastAsia="Times New Roman" w:hAnsi="Calibri" w:cs="Calibri"/>
          <w:kern w:val="0"/>
          <w:lang w:eastAsia="en-IN" w:bidi="hi-IN"/>
          <w14:ligatures w14:val="none"/>
        </w:rPr>
        <w:t>The broader social and political environment also plays an important role in shaping the experiences of religious minorities. Increasing communal polarization, identity-based politics, and intolerance toward minority communities can contribute to an atmosphere in which Christians and other religious minorities become vulnerable to discrimination and hostility. Attacks on churches, pastors, religious gatherings, and Christian institutions therefore need to be understood not merely as isolated incidents but also within the wider context of communal relations, local political circumstances, and debates over religious identity.</w:t>
      </w:r>
    </w:p>
    <w:p w14:paraId="0584D6C2" w14:textId="77777777" w:rsidR="009C1231" w:rsidRPr="009C1231" w:rsidRDefault="009C1231" w:rsidP="009C1231">
      <w:pPr>
        <w:spacing w:after="0" w:line="240" w:lineRule="auto"/>
        <w:jc w:val="both"/>
        <w:rPr>
          <w:rFonts w:ascii="Calibri" w:eastAsia="Times New Roman" w:hAnsi="Calibri" w:cs="Calibri"/>
          <w:kern w:val="0"/>
          <w:lang w:val="en-IN" w:eastAsia="en-IN" w:bidi="hi-IN"/>
          <w14:ligatures w14:val="none"/>
        </w:rPr>
      </w:pPr>
      <w:r w:rsidRPr="009C1231">
        <w:rPr>
          <w:rFonts w:ascii="Calibri" w:eastAsia="Times New Roman" w:hAnsi="Calibri" w:cs="Calibri"/>
          <w:kern w:val="0"/>
          <w:lang w:eastAsia="en-IN" w:bidi="hi-IN"/>
          <w14:ligatures w14:val="none"/>
        </w:rPr>
        <w:t> </w:t>
      </w:r>
    </w:p>
    <w:p w14:paraId="542F7664" w14:textId="77777777" w:rsidR="009C1231" w:rsidRPr="009C1231" w:rsidRDefault="009C1231" w:rsidP="009C1231">
      <w:pPr>
        <w:spacing w:after="0" w:line="240" w:lineRule="auto"/>
        <w:jc w:val="both"/>
        <w:rPr>
          <w:rFonts w:ascii="Calibri" w:eastAsia="Times New Roman" w:hAnsi="Calibri" w:cs="Calibri"/>
          <w:kern w:val="0"/>
          <w:lang w:val="en-IN" w:eastAsia="en-IN" w:bidi="hi-IN"/>
          <w14:ligatures w14:val="none"/>
        </w:rPr>
      </w:pPr>
      <w:r w:rsidRPr="009C1231">
        <w:rPr>
          <w:rFonts w:ascii="Calibri" w:eastAsia="Times New Roman" w:hAnsi="Calibri" w:cs="Calibri"/>
          <w:kern w:val="0"/>
          <w:lang w:eastAsia="en-IN" w:bidi="hi-IN"/>
          <w14:ligatures w14:val="none"/>
        </w:rPr>
        <w:t>The persistence of violence and discrimination against Christians raises significant questions about the effective realization of constitutional guarantees of equality, religious freedom, dignity, and protection under the law. Ensuring these rights requires not only legal safeguards but also their impartial and effective implementation. Addressing violence against Christian communities, particularly those facing the intersecting disadvantages of caste and religion, therefore requires a broader commitment to social equality, accountability, communal harmony, and the rule of law. Ultimately, the protection of vulnerable religious and caste communities is essential to realizing the constitutional vision of India as an inclusive, democratic, and pluralistic society.</w:t>
      </w:r>
    </w:p>
    <w:p w14:paraId="3BDDB0B9" w14:textId="77777777" w:rsidR="009C1231" w:rsidRPr="009C1231" w:rsidRDefault="009C1231" w:rsidP="009C1231">
      <w:pPr>
        <w:spacing w:after="0" w:line="240" w:lineRule="auto"/>
        <w:jc w:val="both"/>
        <w:rPr>
          <w:rFonts w:ascii="Calibri" w:eastAsia="Times New Roman" w:hAnsi="Calibri" w:cs="Calibri"/>
          <w:kern w:val="0"/>
          <w:lang w:val="en-IN" w:eastAsia="en-IN" w:bidi="hi-IN"/>
          <w14:ligatures w14:val="none"/>
        </w:rPr>
      </w:pPr>
      <w:r w:rsidRPr="009C1231">
        <w:rPr>
          <w:rFonts w:ascii="Calibri" w:eastAsia="Times New Roman" w:hAnsi="Calibri" w:cs="Calibri"/>
          <w:kern w:val="0"/>
          <w:lang w:eastAsia="en-IN" w:bidi="hi-IN"/>
          <w14:ligatures w14:val="none"/>
        </w:rPr>
        <w:t> </w:t>
      </w:r>
    </w:p>
    <w:p w14:paraId="42D16D3E" w14:textId="77777777" w:rsidR="009C1231" w:rsidRPr="009C1231" w:rsidRDefault="009C1231" w:rsidP="009C1231">
      <w:pPr>
        <w:spacing w:after="0" w:line="240" w:lineRule="auto"/>
        <w:jc w:val="both"/>
        <w:rPr>
          <w:rFonts w:ascii="Calibri" w:eastAsia="Times New Roman" w:hAnsi="Calibri" w:cs="Calibri"/>
          <w:kern w:val="0"/>
          <w:lang w:val="en-IN" w:eastAsia="en-IN" w:bidi="hi-IN"/>
          <w14:ligatures w14:val="none"/>
        </w:rPr>
      </w:pPr>
      <w:r w:rsidRPr="009C1231">
        <w:rPr>
          <w:rFonts w:ascii="Calibri" w:eastAsia="Times New Roman" w:hAnsi="Calibri" w:cs="Calibri"/>
          <w:kern w:val="0"/>
          <w:lang w:eastAsia="en-IN" w:bidi="hi-IN"/>
          <w14:ligatures w14:val="none"/>
        </w:rPr>
        <w:t xml:space="preserve">To raise the issue of violence the </w:t>
      </w:r>
      <w:proofErr w:type="spellStart"/>
      <w:r w:rsidRPr="009C1231">
        <w:rPr>
          <w:rFonts w:ascii="Calibri" w:eastAsia="Times New Roman" w:hAnsi="Calibri" w:cs="Calibri"/>
          <w:kern w:val="0"/>
          <w:lang w:eastAsia="en-IN" w:bidi="hi-IN"/>
          <w14:ligatures w14:val="none"/>
        </w:rPr>
        <w:t>Archbiship</w:t>
      </w:r>
      <w:proofErr w:type="spellEnd"/>
      <w:r w:rsidRPr="009C1231">
        <w:rPr>
          <w:rFonts w:ascii="Calibri" w:eastAsia="Times New Roman" w:hAnsi="Calibri" w:cs="Calibri"/>
          <w:kern w:val="0"/>
          <w:lang w:eastAsia="en-IN" w:bidi="hi-IN"/>
          <w14:ligatures w14:val="none"/>
        </w:rPr>
        <w:t xml:space="preserve"> of Bangalore </w:t>
      </w:r>
      <w:proofErr w:type="spellStart"/>
      <w:r w:rsidRPr="009C1231">
        <w:rPr>
          <w:rFonts w:ascii="Calibri" w:eastAsia="Times New Roman" w:hAnsi="Calibri" w:cs="Calibri"/>
          <w:kern w:val="0"/>
          <w:lang w:eastAsia="en-IN" w:bidi="hi-IN"/>
          <w14:ligatures w14:val="none"/>
        </w:rPr>
        <w:t>alongwith</w:t>
      </w:r>
      <w:proofErr w:type="spellEnd"/>
      <w:r w:rsidRPr="009C1231">
        <w:rPr>
          <w:rFonts w:ascii="Calibri" w:eastAsia="Times New Roman" w:hAnsi="Calibri" w:cs="Calibri"/>
          <w:kern w:val="0"/>
          <w:lang w:eastAsia="en-IN" w:bidi="hi-IN"/>
          <w14:ligatures w14:val="none"/>
        </w:rPr>
        <w:t xml:space="preserve"> with various petitioners have filed a writ petition before the Supreme Court of India [</w:t>
      </w:r>
      <w:r w:rsidRPr="009C1231">
        <w:rPr>
          <w:rFonts w:ascii="Calibri" w:eastAsia="Times New Roman" w:hAnsi="Calibri" w:cs="Calibri"/>
          <w:b/>
          <w:bCs/>
          <w:kern w:val="0"/>
          <w:lang w:eastAsia="en-IN" w:bidi="hi-IN"/>
          <w14:ligatures w14:val="none"/>
        </w:rPr>
        <w:t xml:space="preserve">Most Rev. Dr. Peter Machado &amp; Ors. v. Union of India &amp; Ors.] </w:t>
      </w:r>
      <w:r w:rsidRPr="009C1231">
        <w:rPr>
          <w:rFonts w:ascii="Calibri" w:eastAsia="Times New Roman" w:hAnsi="Calibri" w:cs="Calibri"/>
          <w:kern w:val="0"/>
          <w:lang w:eastAsia="en-IN" w:bidi="hi-IN"/>
          <w14:ligatures w14:val="none"/>
        </w:rPr>
        <w:t xml:space="preserve">seeking immediate intervention of the court and for directions to the central and state government to protect and act against such acts of violence. The petition was filed on 05 March </w:t>
      </w:r>
      <w:proofErr w:type="gramStart"/>
      <w:r w:rsidRPr="009C1231">
        <w:rPr>
          <w:rFonts w:ascii="Calibri" w:eastAsia="Times New Roman" w:hAnsi="Calibri" w:cs="Calibri"/>
          <w:kern w:val="0"/>
          <w:lang w:eastAsia="en-IN" w:bidi="hi-IN"/>
          <w14:ligatures w14:val="none"/>
        </w:rPr>
        <w:t>2022</w:t>
      </w:r>
      <w:proofErr w:type="gramEnd"/>
      <w:r w:rsidRPr="009C1231">
        <w:rPr>
          <w:rFonts w:ascii="Calibri" w:eastAsia="Times New Roman" w:hAnsi="Calibri" w:cs="Calibri"/>
          <w:kern w:val="0"/>
          <w:lang w:eastAsia="en-IN" w:bidi="hi-IN"/>
          <w14:ligatures w14:val="none"/>
        </w:rPr>
        <w:t xml:space="preserve"> and the matter has been pending since then. The matter was listed about 18 times before the court, and in the last listing on 15 July 2026 the court indicated it would hear the matter from both sides.</w:t>
      </w:r>
    </w:p>
    <w:p w14:paraId="7758BAA9" w14:textId="77777777" w:rsidR="009C1231" w:rsidRPr="009C1231" w:rsidRDefault="009C1231" w:rsidP="009C1231">
      <w:pPr>
        <w:spacing w:after="0" w:line="240" w:lineRule="auto"/>
        <w:jc w:val="both"/>
        <w:rPr>
          <w:rFonts w:ascii="Calibri" w:eastAsia="Times New Roman" w:hAnsi="Calibri" w:cs="Calibri"/>
          <w:kern w:val="0"/>
          <w:lang w:val="en-IN" w:eastAsia="en-IN" w:bidi="hi-IN"/>
          <w14:ligatures w14:val="none"/>
        </w:rPr>
      </w:pPr>
      <w:r w:rsidRPr="009C1231">
        <w:rPr>
          <w:rFonts w:ascii="Calibri" w:eastAsia="Times New Roman" w:hAnsi="Calibri" w:cs="Calibri"/>
          <w:kern w:val="0"/>
          <w:lang w:val="en-IN" w:eastAsia="en-IN" w:bidi="hi-IN"/>
          <w14:ligatures w14:val="none"/>
        </w:rPr>
        <w:t> </w:t>
      </w:r>
    </w:p>
    <w:p w14:paraId="21FDEF1D" w14:textId="77777777" w:rsidR="009C1231" w:rsidRPr="009C1231" w:rsidRDefault="009C1231" w:rsidP="009C1231">
      <w:pPr>
        <w:spacing w:after="0" w:line="240" w:lineRule="auto"/>
        <w:jc w:val="both"/>
        <w:rPr>
          <w:rFonts w:ascii="Calibri" w:eastAsia="Times New Roman" w:hAnsi="Calibri" w:cs="Calibri"/>
          <w:kern w:val="0"/>
          <w:lang w:val="en-IN" w:eastAsia="en-IN" w:bidi="hi-IN"/>
          <w14:ligatures w14:val="none"/>
        </w:rPr>
      </w:pPr>
      <w:r w:rsidRPr="009C1231">
        <w:rPr>
          <w:rFonts w:ascii="Calibri" w:eastAsia="Times New Roman" w:hAnsi="Calibri" w:cs="Calibri"/>
          <w:kern w:val="0"/>
          <w:lang w:eastAsia="en-IN" w:bidi="hi-IN"/>
          <w14:ligatures w14:val="none"/>
        </w:rPr>
        <w:t xml:space="preserve">India is widely recognized for its rich cultural, religious, and social diversity. The Constitution of India upholds the principles of equality, dignity, and freedom of religion, envisioning an inclusive and democratic society in which every individual enjoys equal rights and opportunities. Despite these constitutional guarantees, Dalit Christians continue to face significant challenges in realizing these ideals in their daily lives. </w:t>
      </w:r>
    </w:p>
    <w:p w14:paraId="25CAFFFB" w14:textId="77777777" w:rsidR="009C1231" w:rsidRPr="009C1231" w:rsidRDefault="009C1231" w:rsidP="009C1231">
      <w:pPr>
        <w:spacing w:after="0" w:line="240" w:lineRule="auto"/>
        <w:jc w:val="both"/>
        <w:rPr>
          <w:rFonts w:ascii="Calibri" w:eastAsia="Times New Roman" w:hAnsi="Calibri" w:cs="Calibri"/>
          <w:kern w:val="0"/>
          <w:lang w:val="en-IN" w:eastAsia="en-IN" w:bidi="hi-IN"/>
          <w14:ligatures w14:val="none"/>
        </w:rPr>
      </w:pPr>
      <w:r w:rsidRPr="009C1231">
        <w:rPr>
          <w:rFonts w:ascii="Calibri" w:eastAsia="Times New Roman" w:hAnsi="Calibri" w:cs="Calibri"/>
          <w:kern w:val="0"/>
          <w:lang w:eastAsia="en-IN" w:bidi="hi-IN"/>
          <w14:ligatures w14:val="none"/>
        </w:rPr>
        <w:t> </w:t>
      </w:r>
    </w:p>
    <w:p w14:paraId="77CB0EDB" w14:textId="77777777" w:rsidR="009C1231" w:rsidRPr="009C1231" w:rsidRDefault="009C1231" w:rsidP="009C1231">
      <w:pPr>
        <w:spacing w:after="0" w:line="240" w:lineRule="auto"/>
        <w:jc w:val="both"/>
        <w:rPr>
          <w:rFonts w:ascii="Calibri" w:eastAsia="Times New Roman" w:hAnsi="Calibri" w:cs="Calibri"/>
          <w:kern w:val="0"/>
          <w:lang w:val="en-IN" w:eastAsia="en-IN" w:bidi="hi-IN"/>
          <w14:ligatures w14:val="none"/>
        </w:rPr>
      </w:pPr>
      <w:r w:rsidRPr="009C1231">
        <w:rPr>
          <w:rFonts w:ascii="Calibri" w:eastAsia="Times New Roman" w:hAnsi="Calibri" w:cs="Calibri"/>
          <w:kern w:val="0"/>
          <w:lang w:eastAsia="en-IN" w:bidi="hi-IN"/>
          <w14:ligatures w14:val="none"/>
        </w:rPr>
        <w:t xml:space="preserve">Dalit Christians occupy a complex position at the intersection of caste and religion. Although they continue to experience social discrimination rooted in longstanding caste hierarchies, they are denied certain constitutional safeguards and reservation benefits available to Scheduled Castes (SCs) because of their religious affiliation. This exclusion stems from the Constitution (Scheduled Castes) Order, 1950, which provides that individuals who convert to religions other than Hinduism, Sikhism, or Buddhism are no longer eligible for SC status. </w:t>
      </w:r>
    </w:p>
    <w:p w14:paraId="4405DD1F" w14:textId="77777777" w:rsidR="009C1231" w:rsidRPr="009C1231" w:rsidRDefault="009C1231" w:rsidP="009C1231">
      <w:pPr>
        <w:spacing w:after="0" w:line="240" w:lineRule="auto"/>
        <w:jc w:val="both"/>
        <w:rPr>
          <w:rFonts w:ascii="Calibri" w:eastAsia="Times New Roman" w:hAnsi="Calibri" w:cs="Calibri"/>
          <w:kern w:val="0"/>
          <w:lang w:val="en-IN" w:eastAsia="en-IN" w:bidi="hi-IN"/>
          <w14:ligatures w14:val="none"/>
        </w:rPr>
      </w:pPr>
      <w:r w:rsidRPr="009C1231">
        <w:rPr>
          <w:rFonts w:ascii="Calibri" w:eastAsia="Times New Roman" w:hAnsi="Calibri" w:cs="Calibri"/>
          <w:kern w:val="0"/>
          <w:lang w:eastAsia="en-IN" w:bidi="hi-IN"/>
          <w14:ligatures w14:val="none"/>
        </w:rPr>
        <w:t> </w:t>
      </w:r>
    </w:p>
    <w:p w14:paraId="3000C7F4" w14:textId="77777777" w:rsidR="009C1231" w:rsidRPr="009C1231" w:rsidRDefault="009C1231" w:rsidP="009C1231">
      <w:pPr>
        <w:spacing w:after="0" w:line="240" w:lineRule="auto"/>
        <w:jc w:val="both"/>
        <w:rPr>
          <w:rFonts w:ascii="Calibri" w:eastAsia="Times New Roman" w:hAnsi="Calibri" w:cs="Calibri"/>
          <w:kern w:val="0"/>
          <w:lang w:val="en-IN" w:eastAsia="en-IN" w:bidi="hi-IN"/>
          <w14:ligatures w14:val="none"/>
        </w:rPr>
      </w:pPr>
      <w:r w:rsidRPr="009C1231">
        <w:rPr>
          <w:rFonts w:ascii="Calibri" w:eastAsia="Times New Roman" w:hAnsi="Calibri" w:cs="Calibri"/>
          <w:kern w:val="0"/>
          <w:lang w:eastAsia="en-IN" w:bidi="hi-IN"/>
          <w14:ligatures w14:val="none"/>
        </w:rPr>
        <w:t xml:space="preserve">Issued under Article 341(1) of the Constitution, the Constitution (Scheduled Castes) Order, 1950 originally restricted Scheduled Caste status to Hindus. Subsequent amendments extended this recognition to Sikhs in 1956 and Buddhists in 1990. However, Christians and Muslims of Dalit origin continue to remain outside its scope. This exclusion has become one of the most contentious issues in the ongoing debate surrounding equality, religious freedom, and social justice in India. </w:t>
      </w:r>
    </w:p>
    <w:p w14:paraId="29039F61" w14:textId="77777777" w:rsidR="009C1231" w:rsidRPr="009C1231" w:rsidRDefault="009C1231" w:rsidP="009C1231">
      <w:pPr>
        <w:spacing w:after="0" w:line="240" w:lineRule="auto"/>
        <w:jc w:val="both"/>
        <w:rPr>
          <w:rFonts w:ascii="Calibri" w:eastAsia="Times New Roman" w:hAnsi="Calibri" w:cs="Calibri"/>
          <w:kern w:val="0"/>
          <w:lang w:val="en-IN" w:eastAsia="en-IN" w:bidi="hi-IN"/>
          <w14:ligatures w14:val="none"/>
        </w:rPr>
      </w:pPr>
      <w:r w:rsidRPr="009C1231">
        <w:rPr>
          <w:rFonts w:ascii="Calibri" w:eastAsia="Times New Roman" w:hAnsi="Calibri" w:cs="Calibri"/>
          <w:kern w:val="0"/>
          <w:lang w:eastAsia="en-IN" w:bidi="hi-IN"/>
          <w14:ligatures w14:val="none"/>
        </w:rPr>
        <w:t> </w:t>
      </w:r>
    </w:p>
    <w:p w14:paraId="0B060783" w14:textId="77777777" w:rsidR="009C1231" w:rsidRPr="009C1231" w:rsidRDefault="009C1231" w:rsidP="009C1231">
      <w:pPr>
        <w:spacing w:after="0" w:line="240" w:lineRule="auto"/>
        <w:jc w:val="both"/>
        <w:rPr>
          <w:rFonts w:ascii="Calibri" w:eastAsia="Times New Roman" w:hAnsi="Calibri" w:cs="Calibri"/>
          <w:kern w:val="0"/>
          <w:lang w:val="en-IN" w:eastAsia="en-IN" w:bidi="hi-IN"/>
          <w14:ligatures w14:val="none"/>
        </w:rPr>
      </w:pPr>
      <w:r w:rsidRPr="009C1231">
        <w:rPr>
          <w:rFonts w:ascii="Calibri" w:eastAsia="Times New Roman" w:hAnsi="Calibri" w:cs="Calibri"/>
          <w:kern w:val="0"/>
          <w:lang w:eastAsia="en-IN" w:bidi="hi-IN"/>
          <w14:ligatures w14:val="none"/>
        </w:rPr>
        <w:t xml:space="preserve">The loss of Scheduled Caste status has far-reaching consequences for Dalit Christians. They become ineligible for reservations in public employment, educational institutions, and political representation reserved for Scheduled Castes. They also lose access to various welfare measures, including government financial assistance, livelihood support, and development schemes linked to SC certification. Furthermore, they are excluded from the protection of the Scheduled Castes and Scheduled Tribes (Prevention of Atrocities) Act, 1989, as the Act follows the same religious criteria for determining Scheduled Caste status. Beyond legal exclusion, Dalit Christians frequently encounter a range of social and human rights challenges. In several regions of India, they have reported discrimination, social ostracism, restrictions on religious practices, violence, and attacks on churches and Christian institutions. These incidents often arise from a </w:t>
      </w:r>
      <w:r w:rsidRPr="009C1231">
        <w:rPr>
          <w:rFonts w:ascii="Calibri" w:eastAsia="Times New Roman" w:hAnsi="Calibri" w:cs="Calibri"/>
          <w:kern w:val="0"/>
          <w:lang w:eastAsia="en-IN" w:bidi="hi-IN"/>
          <w14:ligatures w14:val="none"/>
        </w:rPr>
        <w:lastRenderedPageBreak/>
        <w:t xml:space="preserve">combination of factors, including the persistence of caste-based discrimination, religious intolerance, disputes surrounding religious conversion, local political dynamics, and resistance to the social and economic advancement of historically marginalized communities. Although the severity and nature of these challenges differ across regions, they raise important concerns regarding the effective enforcement of the fundamental rights guaranteed under the Constitution. </w:t>
      </w:r>
    </w:p>
    <w:p w14:paraId="015AD3B5" w14:textId="77777777" w:rsidR="009C1231" w:rsidRPr="009C1231" w:rsidRDefault="009C1231" w:rsidP="009C1231">
      <w:pPr>
        <w:spacing w:after="0" w:line="240" w:lineRule="auto"/>
        <w:jc w:val="both"/>
        <w:rPr>
          <w:rFonts w:ascii="Calibri" w:eastAsia="Times New Roman" w:hAnsi="Calibri" w:cs="Calibri"/>
          <w:kern w:val="0"/>
          <w:lang w:val="en-IN" w:eastAsia="en-IN" w:bidi="hi-IN"/>
          <w14:ligatures w14:val="none"/>
        </w:rPr>
      </w:pPr>
      <w:r w:rsidRPr="009C1231">
        <w:rPr>
          <w:rFonts w:ascii="Calibri" w:eastAsia="Times New Roman" w:hAnsi="Calibri" w:cs="Calibri"/>
          <w:kern w:val="0"/>
          <w:lang w:eastAsia="en-IN" w:bidi="hi-IN"/>
          <w14:ligatures w14:val="none"/>
        </w:rPr>
        <w:t> </w:t>
      </w:r>
    </w:p>
    <w:p w14:paraId="14787330" w14:textId="77777777" w:rsidR="009C1231" w:rsidRPr="009C1231" w:rsidRDefault="009C1231" w:rsidP="009C1231">
      <w:pPr>
        <w:spacing w:after="0" w:line="240" w:lineRule="auto"/>
        <w:jc w:val="both"/>
        <w:rPr>
          <w:rFonts w:ascii="Calibri" w:eastAsia="Times New Roman" w:hAnsi="Calibri" w:cs="Calibri"/>
          <w:kern w:val="0"/>
          <w:lang w:val="en-IN" w:eastAsia="en-IN" w:bidi="hi-IN"/>
          <w14:ligatures w14:val="none"/>
        </w:rPr>
      </w:pPr>
      <w:r w:rsidRPr="009C1231">
        <w:rPr>
          <w:rFonts w:ascii="Calibri" w:eastAsia="Times New Roman" w:hAnsi="Calibri" w:cs="Calibri"/>
          <w:kern w:val="0"/>
          <w:lang w:eastAsia="en-IN" w:bidi="hi-IN"/>
          <w14:ligatures w14:val="none"/>
        </w:rPr>
        <w:t>Civil society organizations, human rights groups, and advocacy bodies have consistently argued that the social stigma and economic disadvantages associated with untouchability do not disappear following religious conversion. They therefore contend that affirmative action and constitutional protections should be based on historical social disadvantage rather than religious identity, advocating for reservation policies and related benefits to make religion neutral.</w:t>
      </w:r>
    </w:p>
    <w:p w14:paraId="6BE7C743" w14:textId="77777777" w:rsidR="009C1231" w:rsidRPr="009C1231" w:rsidRDefault="009C1231" w:rsidP="009C1231">
      <w:pPr>
        <w:spacing w:after="0" w:line="240" w:lineRule="auto"/>
        <w:jc w:val="both"/>
        <w:rPr>
          <w:rFonts w:ascii="Calibri" w:eastAsia="Times New Roman" w:hAnsi="Calibri" w:cs="Calibri"/>
          <w:kern w:val="0"/>
          <w:lang w:val="en-IN" w:eastAsia="en-IN" w:bidi="hi-IN"/>
          <w14:ligatures w14:val="none"/>
        </w:rPr>
      </w:pPr>
      <w:r w:rsidRPr="009C1231">
        <w:rPr>
          <w:rFonts w:ascii="Calibri" w:eastAsia="Times New Roman" w:hAnsi="Calibri" w:cs="Calibri"/>
          <w:kern w:val="0"/>
          <w:lang w:eastAsia="en-IN" w:bidi="hi-IN"/>
          <w14:ligatures w14:val="none"/>
        </w:rPr>
        <w:t> </w:t>
      </w:r>
    </w:p>
    <w:p w14:paraId="35D43DFA" w14:textId="77777777" w:rsidR="009C1231" w:rsidRPr="009C1231" w:rsidRDefault="009C1231" w:rsidP="009C1231">
      <w:pPr>
        <w:spacing w:after="0" w:line="240" w:lineRule="auto"/>
        <w:jc w:val="both"/>
        <w:rPr>
          <w:rFonts w:ascii="Calibri" w:eastAsia="Times New Roman" w:hAnsi="Calibri" w:cs="Calibri"/>
          <w:kern w:val="0"/>
          <w:lang w:val="en-IN" w:eastAsia="en-IN" w:bidi="hi-IN"/>
          <w14:ligatures w14:val="none"/>
        </w:rPr>
      </w:pPr>
      <w:r w:rsidRPr="009C1231">
        <w:rPr>
          <w:rFonts w:ascii="Calibri" w:eastAsia="Times New Roman" w:hAnsi="Calibri" w:cs="Calibri"/>
          <w:kern w:val="0"/>
          <w:lang w:eastAsia="en-IN" w:bidi="hi-IN"/>
          <w14:ligatures w14:val="none"/>
        </w:rPr>
        <w:t xml:space="preserve">These issues have been raised before the Supreme Court by various groups and individuals who have moved their respective writ petitions including by </w:t>
      </w:r>
      <w:r w:rsidRPr="009C1231">
        <w:rPr>
          <w:rFonts w:ascii="Calibri" w:eastAsia="Times New Roman" w:hAnsi="Calibri" w:cs="Calibri"/>
          <w:b/>
          <w:bCs/>
          <w:kern w:val="0"/>
          <w:lang w:eastAsia="en-IN" w:bidi="hi-IN"/>
          <w14:ligatures w14:val="none"/>
        </w:rPr>
        <w:t>Center for Public Interest Litigation</w:t>
      </w:r>
      <w:r w:rsidRPr="009C1231">
        <w:rPr>
          <w:rFonts w:ascii="Calibri" w:eastAsia="Times New Roman" w:hAnsi="Calibri" w:cs="Calibri"/>
          <w:kern w:val="0"/>
          <w:lang w:eastAsia="en-IN" w:bidi="hi-IN"/>
          <w14:ligatures w14:val="none"/>
        </w:rPr>
        <w:t xml:space="preserve"> and co petitioner </w:t>
      </w:r>
      <w:r w:rsidRPr="009C1231">
        <w:rPr>
          <w:rFonts w:ascii="Calibri" w:eastAsia="Times New Roman" w:hAnsi="Calibri" w:cs="Calibri"/>
          <w:b/>
          <w:bCs/>
          <w:kern w:val="0"/>
          <w:lang w:eastAsia="en-IN" w:bidi="hi-IN"/>
          <w14:ligatures w14:val="none"/>
        </w:rPr>
        <w:t>Adv Franklin Ceaser</w:t>
      </w:r>
      <w:r w:rsidRPr="009C1231">
        <w:rPr>
          <w:rFonts w:ascii="Calibri" w:eastAsia="Times New Roman" w:hAnsi="Calibri" w:cs="Calibri"/>
          <w:kern w:val="0"/>
          <w:lang w:eastAsia="en-IN" w:bidi="hi-IN"/>
          <w14:ligatures w14:val="none"/>
        </w:rPr>
        <w:t>, who filed their petition on 22 March 2004. In this petition the National Council for Churches in India and the Catholic Bishop Conference of India have both been impleaded as parties in support of the petitioners’ challenge to the constitutional validity of the Presidential Order. Since then, the matter has been listed about 58 times as per orders uploaded on the Supreme Court website and is pending final hearing.</w:t>
      </w:r>
    </w:p>
    <w:p w14:paraId="2A5A7FF4" w14:textId="77777777" w:rsidR="009C1231" w:rsidRPr="009C1231" w:rsidRDefault="009C1231" w:rsidP="009C1231">
      <w:pPr>
        <w:spacing w:after="0" w:line="240" w:lineRule="auto"/>
        <w:rPr>
          <w:rFonts w:ascii="Calibri" w:eastAsia="Times New Roman" w:hAnsi="Calibri" w:cs="Calibri"/>
          <w:kern w:val="0"/>
          <w:lang w:val="en-IN" w:eastAsia="en-IN" w:bidi="hi-IN"/>
          <w14:ligatures w14:val="none"/>
        </w:rPr>
      </w:pPr>
      <w:r w:rsidRPr="009C1231">
        <w:rPr>
          <w:rFonts w:ascii="Arial" w:eastAsia="Times New Roman" w:hAnsi="Arial" w:cs="Arial"/>
          <w:kern w:val="0"/>
          <w:sz w:val="24"/>
          <w:szCs w:val="24"/>
          <w:lang w:val="en-IN" w:eastAsia="en-IN" w:bidi="hi-IN"/>
          <w14:ligatures w14:val="none"/>
        </w:rPr>
        <w:t> </w:t>
      </w:r>
    </w:p>
    <w:p w14:paraId="6CEB8F33" w14:textId="77777777" w:rsidR="009C1231" w:rsidRPr="009C1231" w:rsidRDefault="009C1231" w:rsidP="009C1231">
      <w:pPr>
        <w:spacing w:after="0" w:line="240" w:lineRule="auto"/>
        <w:rPr>
          <w:rFonts w:ascii="Times New Roman" w:eastAsia="Times New Roman" w:hAnsi="Times New Roman" w:cs="Times New Roman"/>
          <w:kern w:val="0"/>
          <w:sz w:val="24"/>
          <w:szCs w:val="24"/>
          <w:lang w:val="en-IN" w:eastAsia="en-IN" w:bidi="hi-IN"/>
          <w14:ligatures w14:val="none"/>
        </w:rPr>
      </w:pPr>
      <w:bookmarkStart w:id="0" w:name="SignatureSanitizer_SafeHtmlFilter_UNIQUE"/>
      <w:r w:rsidRPr="009C1231">
        <w:rPr>
          <w:rFonts w:ascii="Calibri" w:eastAsia="Times New Roman" w:hAnsi="Calibri" w:cs="Calibri"/>
          <w:color w:val="1F497D"/>
          <w:kern w:val="0"/>
          <w:lang w:val="en-IN" w:eastAsia="en-IN" w:bidi="hi-IN"/>
          <w14:ligatures w14:val="none"/>
        </w:rPr>
        <w:t> </w:t>
      </w:r>
      <w:bookmarkEnd w:id="0"/>
    </w:p>
    <w:p w14:paraId="7F538DB7" w14:textId="0D047839" w:rsidR="00436ADA" w:rsidRPr="009C1231" w:rsidRDefault="00436ADA" w:rsidP="009C1231">
      <w:pPr>
        <w:rPr>
          <w:lang w:bidi="hi-IN"/>
        </w:rPr>
      </w:pPr>
    </w:p>
    <w:sectPr w:rsidR="00436ADA" w:rsidRPr="009C1231" w:rsidSect="002B2E3F">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D7678F"/>
    <w:multiLevelType w:val="multilevel"/>
    <w:tmpl w:val="67967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B845A9"/>
    <w:multiLevelType w:val="multilevel"/>
    <w:tmpl w:val="54C69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1364CB"/>
    <w:multiLevelType w:val="multilevel"/>
    <w:tmpl w:val="28580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FD6BFD"/>
    <w:multiLevelType w:val="multilevel"/>
    <w:tmpl w:val="35A43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C663C9B"/>
    <w:multiLevelType w:val="multilevel"/>
    <w:tmpl w:val="A538D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EA73266"/>
    <w:multiLevelType w:val="multilevel"/>
    <w:tmpl w:val="43B61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732CE9"/>
    <w:multiLevelType w:val="multilevel"/>
    <w:tmpl w:val="4C249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B8557F1"/>
    <w:multiLevelType w:val="multilevel"/>
    <w:tmpl w:val="F9969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CBC6892"/>
    <w:multiLevelType w:val="multilevel"/>
    <w:tmpl w:val="CA5A5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80940D2"/>
    <w:multiLevelType w:val="hybridMultilevel"/>
    <w:tmpl w:val="E4C4B34E"/>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7F873AC2"/>
    <w:multiLevelType w:val="multilevel"/>
    <w:tmpl w:val="C7161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0137784">
    <w:abstractNumId w:val="9"/>
  </w:num>
  <w:num w:numId="2" w16cid:durableId="1086879533">
    <w:abstractNumId w:val="10"/>
  </w:num>
  <w:num w:numId="3" w16cid:durableId="158470773">
    <w:abstractNumId w:val="7"/>
  </w:num>
  <w:num w:numId="4" w16cid:durableId="460684107">
    <w:abstractNumId w:val="0"/>
  </w:num>
  <w:num w:numId="5" w16cid:durableId="1237352161">
    <w:abstractNumId w:val="4"/>
  </w:num>
  <w:num w:numId="6" w16cid:durableId="2118862974">
    <w:abstractNumId w:val="8"/>
  </w:num>
  <w:num w:numId="7" w16cid:durableId="568467292">
    <w:abstractNumId w:val="5"/>
  </w:num>
  <w:num w:numId="8" w16cid:durableId="1329407300">
    <w:abstractNumId w:val="6"/>
  </w:num>
  <w:num w:numId="9" w16cid:durableId="1743021296">
    <w:abstractNumId w:val="3"/>
  </w:num>
  <w:num w:numId="10" w16cid:durableId="646007693">
    <w:abstractNumId w:val="2"/>
  </w:num>
  <w:num w:numId="11" w16cid:durableId="4911304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178"/>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0"/>
  </w:compat>
  <w:rsids>
    <w:rsidRoot w:val="00F45C98"/>
    <w:rsid w:val="00126CA1"/>
    <w:rsid w:val="002122DA"/>
    <w:rsid w:val="00237785"/>
    <w:rsid w:val="002B2E3F"/>
    <w:rsid w:val="00436ADA"/>
    <w:rsid w:val="00461879"/>
    <w:rsid w:val="005B0D7F"/>
    <w:rsid w:val="005F0DEF"/>
    <w:rsid w:val="00637488"/>
    <w:rsid w:val="00705061"/>
    <w:rsid w:val="0076360B"/>
    <w:rsid w:val="009C1231"/>
    <w:rsid w:val="00D54CDB"/>
    <w:rsid w:val="00DD6CA6"/>
    <w:rsid w:val="00E36C78"/>
    <w:rsid w:val="00E56641"/>
    <w:rsid w:val="00E6743F"/>
    <w:rsid w:val="00F36FEB"/>
    <w:rsid w:val="00F45C98"/>
    <w:rsid w:val="00F95219"/>
    <w:rsid w:val="00FB6518"/>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DFB6E"/>
  <w15:chartTrackingRefBased/>
  <w15:docId w15:val="{633CFFE5-52D4-464D-A42A-C3529C096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5C98"/>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F45C98"/>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F45C98"/>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F45C98"/>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F45C98"/>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F45C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5C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5C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5C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5C98"/>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F45C98"/>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F45C98"/>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F45C98"/>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F45C98"/>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F45C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5C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5C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5C98"/>
    <w:rPr>
      <w:rFonts w:eastAsiaTheme="majorEastAsia" w:cstheme="majorBidi"/>
      <w:color w:val="272727" w:themeColor="text1" w:themeTint="D8"/>
    </w:rPr>
  </w:style>
  <w:style w:type="paragraph" w:styleId="Title">
    <w:name w:val="Title"/>
    <w:basedOn w:val="Normal"/>
    <w:next w:val="Normal"/>
    <w:link w:val="TitleChar"/>
    <w:uiPriority w:val="10"/>
    <w:qFormat/>
    <w:rsid w:val="00F45C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5C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5C9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5C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5C9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45C98"/>
    <w:rPr>
      <w:i/>
      <w:iCs/>
      <w:color w:val="404040" w:themeColor="text1" w:themeTint="BF"/>
    </w:rPr>
  </w:style>
  <w:style w:type="paragraph" w:styleId="ListParagraph">
    <w:name w:val="List Paragraph"/>
    <w:basedOn w:val="Normal"/>
    <w:uiPriority w:val="34"/>
    <w:qFormat/>
    <w:rsid w:val="00F45C98"/>
    <w:pPr>
      <w:ind w:left="720"/>
      <w:contextualSpacing/>
    </w:pPr>
  </w:style>
  <w:style w:type="character" w:styleId="IntenseEmphasis">
    <w:name w:val="Intense Emphasis"/>
    <w:basedOn w:val="DefaultParagraphFont"/>
    <w:uiPriority w:val="21"/>
    <w:qFormat/>
    <w:rsid w:val="00F45C98"/>
    <w:rPr>
      <w:i/>
      <w:iCs/>
      <w:color w:val="365F91" w:themeColor="accent1" w:themeShade="BF"/>
    </w:rPr>
  </w:style>
  <w:style w:type="paragraph" w:styleId="IntenseQuote">
    <w:name w:val="Intense Quote"/>
    <w:basedOn w:val="Normal"/>
    <w:next w:val="Normal"/>
    <w:link w:val="IntenseQuoteChar"/>
    <w:uiPriority w:val="30"/>
    <w:qFormat/>
    <w:rsid w:val="00F45C98"/>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F45C98"/>
    <w:rPr>
      <w:i/>
      <w:iCs/>
      <w:color w:val="365F91" w:themeColor="accent1" w:themeShade="BF"/>
    </w:rPr>
  </w:style>
  <w:style w:type="character" w:styleId="IntenseReference">
    <w:name w:val="Intense Reference"/>
    <w:basedOn w:val="DefaultParagraphFont"/>
    <w:uiPriority w:val="32"/>
    <w:qFormat/>
    <w:rsid w:val="00F45C98"/>
    <w:rPr>
      <w:b/>
      <w:bCs/>
      <w:smallCaps/>
      <w:color w:val="365F91" w:themeColor="accent1" w:themeShade="BF"/>
      <w:spacing w:val="5"/>
    </w:rPr>
  </w:style>
  <w:style w:type="character" w:styleId="Strong">
    <w:name w:val="Strong"/>
    <w:basedOn w:val="DefaultParagraphFont"/>
    <w:uiPriority w:val="22"/>
    <w:qFormat/>
    <w:rsid w:val="002B2E3F"/>
    <w:rPr>
      <w:b/>
      <w:bCs/>
    </w:rPr>
  </w:style>
  <w:style w:type="character" w:styleId="Hyperlink">
    <w:name w:val="Hyperlink"/>
    <w:basedOn w:val="DefaultParagraphFont"/>
    <w:uiPriority w:val="99"/>
    <w:semiHidden/>
    <w:unhideWhenUsed/>
    <w:rsid w:val="002B2E3F"/>
    <w:rPr>
      <w:color w:val="0000FF"/>
      <w:u w:val="single"/>
    </w:rPr>
  </w:style>
  <w:style w:type="paragraph" w:customStyle="1" w:styleId="z1qcye">
    <w:name w:val="z1qcye"/>
    <w:basedOn w:val="Normal"/>
    <w:rsid w:val="00637488"/>
    <w:pPr>
      <w:spacing w:before="100" w:beforeAutospacing="1" w:after="100" w:afterAutospacing="1" w:line="240" w:lineRule="auto"/>
    </w:pPr>
    <w:rPr>
      <w:rFonts w:ascii="Times New Roman" w:eastAsia="Times New Roman" w:hAnsi="Times New Roman" w:cs="Times New Roman"/>
      <w:kern w:val="0"/>
      <w:sz w:val="24"/>
      <w:szCs w:val="24"/>
      <w:lang w:val="en-IN" w:eastAsia="en-IN" w:bidi="hi-IN"/>
    </w:rPr>
  </w:style>
  <w:style w:type="character" w:customStyle="1" w:styleId="inqyif">
    <w:name w:val="inqyif"/>
    <w:basedOn w:val="DefaultParagraphFont"/>
    <w:rsid w:val="006374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114</TotalTime>
  <Pages>4</Pages>
  <Words>2448</Words>
  <Characters>13955</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16371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Sirio India</dc:creator>
  <cp:keywords/>
  <dc:description/>
  <cp:lastModifiedBy>Ivan Fernandes</cp:lastModifiedBy>
  <cp:revision>6</cp:revision>
  <dcterms:created xsi:type="dcterms:W3CDTF">2026-07-08T11:43:00Z</dcterms:created>
  <dcterms:modified xsi:type="dcterms:W3CDTF">2026-10-21T12:48:00Z</dcterms:modified>
</cp:coreProperties>
</file>